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eastAsia="仿宋_GB2312"/>
          <w:color w:val="000000"/>
          <w:sz w:val="32"/>
          <w:szCs w:val="32"/>
          <w:lang w:bidi="ar"/>
        </w:rPr>
      </w:pPr>
      <w:r>
        <w:rPr>
          <w:rFonts w:hint="eastAsia" w:eastAsia="仿宋_GB2312"/>
          <w:color w:val="000000"/>
          <w:sz w:val="32"/>
          <w:szCs w:val="32"/>
          <w:lang w:bidi="ar"/>
        </w:rPr>
        <w:t>附件3：</w:t>
      </w:r>
    </w:p>
    <w:p>
      <w:pPr>
        <w:spacing w:line="620" w:lineRule="exact"/>
        <w:rPr>
          <w:rFonts w:hint="eastAsia" w:ascii="仿宋_GB2312" w:hAnsi="仿宋" w:eastAsia="仿宋_GB2312"/>
          <w:color w:val="000000"/>
          <w:sz w:val="32"/>
          <w:szCs w:val="32"/>
        </w:rPr>
      </w:pPr>
    </w:p>
    <w:p>
      <w:pPr>
        <w:jc w:val="center"/>
        <w:rPr>
          <w:rFonts w:hint="eastAsia" w:ascii="方正小标宋简体" w:hAnsi="华文中宋" w:eastAsia="方正小标宋简体"/>
          <w:bCs/>
          <w:sz w:val="36"/>
          <w:szCs w:val="36"/>
        </w:rPr>
      </w:pPr>
      <w:bookmarkStart w:id="0" w:name="_GoBack"/>
      <w:r>
        <w:rPr>
          <w:rFonts w:hint="eastAsia" w:ascii="方正小标宋简体" w:hAnsi="华文中宋" w:eastAsia="方正小标宋简体"/>
          <w:bCs/>
          <w:sz w:val="36"/>
          <w:szCs w:val="36"/>
        </w:rPr>
        <w:t>江苏省科协青年科技人才托举工程实施办法</w:t>
      </w:r>
      <w:bookmarkEnd w:id="0"/>
    </w:p>
    <w:p>
      <w:pPr>
        <w:spacing w:line="620" w:lineRule="exact"/>
        <w:rPr>
          <w:rFonts w:hint="eastAsia" w:ascii="仿宋_GB2312" w:hAnsi="仿宋" w:eastAsia="仿宋_GB2312"/>
          <w:b/>
          <w:bCs/>
          <w:color w:val="000000"/>
          <w:sz w:val="32"/>
          <w:szCs w:val="32"/>
        </w:rPr>
      </w:pP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为贯彻落实《江苏省科协系统深化改革实施方案》，改革科技人才服务机制，探索服务创新驱动战略的有效途径，拓展培养举荐青年科技人才渠道，扶持有学术技术优势、有发展潜力的优秀青年科技人才，实施“江苏省科协青年科技人才托举工程”（以下简称托举工程），特制定本办法。</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bCs/>
          <w:color w:val="000000"/>
          <w:sz w:val="32"/>
          <w:szCs w:val="32"/>
        </w:rPr>
        <w:t xml:space="preserve">第一条  </w:t>
      </w:r>
      <w:r>
        <w:rPr>
          <w:rFonts w:hint="eastAsia" w:ascii="黑体" w:hAnsi="黑体" w:eastAsia="黑体"/>
          <w:color w:val="000000"/>
          <w:sz w:val="32"/>
          <w:szCs w:val="32"/>
        </w:rPr>
        <w:t>资助范围</w:t>
      </w:r>
    </w:p>
    <w:p>
      <w:pPr>
        <w:spacing w:line="620" w:lineRule="exact"/>
        <w:ind w:firstLine="640" w:firstLineChars="200"/>
        <w:rPr>
          <w:rFonts w:eastAsia="仿宋_GB2312"/>
          <w:color w:val="000000"/>
          <w:sz w:val="32"/>
          <w:szCs w:val="32"/>
        </w:rPr>
      </w:pPr>
      <w:r>
        <w:rPr>
          <w:rFonts w:eastAsia="仿宋_GB2312"/>
          <w:color w:val="000000"/>
          <w:sz w:val="32"/>
          <w:szCs w:val="32"/>
        </w:rPr>
        <w:t>托举工程每年评选确定100名青年科技工作者（以下简称被托举人），每人资助3万元人民币，实施时间为2年。鼓励被托举人所在单位和推荐单位分别给予相应配套资助。</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第二条  责任</w:t>
      </w:r>
      <w:r>
        <w:rPr>
          <w:rFonts w:ascii="黑体" w:hAnsi="黑体" w:eastAsia="黑体"/>
          <w:color w:val="000000"/>
          <w:sz w:val="32"/>
          <w:szCs w:val="32"/>
        </w:rPr>
        <w:t>分工</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江苏省科协负责托举工程的立项、评审、监督、考核。各设区市科协负责推荐属地范围内所属科协组织会员；各省级学会负责推荐本学会的会员；各高校科协负责推荐本校的会员。</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第三条  项目申报</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申请人须为我省从事自然科学、工程与技术科学、农业科学、医学科学的青年科技工作者，同时应具备以下条件：</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（一）热爱祖国，拥护中国共产党，积极践行社会主义核心价值观，具有创新、求实、协作、奉献的科学精神和优秀的学风、学术道德；</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（二）省、市、县（市、区）科协所属学会、高校科协、企业（园区）科协会员；</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（三）年龄在35周岁以下（按申报年6月30日实足年龄计算）；</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（四）学术技术水平在省内同行中具备一定优势，在所在学科领域具有较大发展潜力；</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（五）未曾入选本项目或其他省级以上人才计划。</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第四条  组织推荐</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（一）省科协每年上半年启动申报工作。</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（二）符合条件的申请人向所在的省级学会、高校科协或设区市科协提出申请，并提交《江苏省青年科技人才托举工程资助培养项目申报书》及相关附件材料。</w:t>
      </w:r>
    </w:p>
    <w:p>
      <w:pPr>
        <w:spacing w:line="620" w:lineRule="exact"/>
        <w:ind w:firstLine="640" w:firstLineChars="200"/>
        <w:rPr>
          <w:rFonts w:eastAsia="仿宋_GB2312"/>
          <w:color w:val="000000"/>
          <w:sz w:val="32"/>
          <w:szCs w:val="32"/>
        </w:rPr>
      </w:pPr>
      <w:r>
        <w:rPr>
          <w:rFonts w:hint="eastAsia" w:eastAsia="仿宋_GB2312"/>
          <w:color w:val="000000"/>
          <w:sz w:val="32"/>
          <w:szCs w:val="32"/>
        </w:rPr>
        <w:t>（三）推荐单位应经理事会（常务理事会）或常委会、党组会议审议同意后确定推荐人选。近两年年检“不合格”的学会无推荐资格。</w:t>
      </w:r>
    </w:p>
    <w:p>
      <w:pPr>
        <w:spacing w:line="620" w:lineRule="exact"/>
        <w:ind w:firstLine="640" w:firstLineChars="200"/>
        <w:rPr>
          <w:rFonts w:eastAsia="仿宋_GB2312"/>
          <w:color w:val="000000"/>
          <w:sz w:val="32"/>
          <w:szCs w:val="32"/>
        </w:rPr>
      </w:pPr>
      <w:r>
        <w:rPr>
          <w:rFonts w:hint="eastAsia" w:eastAsia="仿宋_GB2312"/>
          <w:color w:val="000000"/>
          <w:sz w:val="32"/>
          <w:szCs w:val="32"/>
        </w:rPr>
        <w:t>（四）申请人所在单位应以书面形式同意其申报托举工程，并对其政治、经济、品行把关，加盖单位公章后，报所在地科协或所在的省级学会。</w:t>
      </w:r>
    </w:p>
    <w:p>
      <w:pPr>
        <w:spacing w:line="6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第五条  评审公示</w:t>
      </w:r>
    </w:p>
    <w:p>
      <w:pPr>
        <w:spacing w:line="620" w:lineRule="exact"/>
        <w:ind w:firstLine="640" w:firstLineChars="200"/>
        <w:rPr>
          <w:rFonts w:eastAsia="仿宋_GB2312"/>
          <w:color w:val="000000"/>
          <w:sz w:val="32"/>
          <w:szCs w:val="32"/>
        </w:rPr>
      </w:pPr>
      <w:r>
        <w:rPr>
          <w:rFonts w:hint="eastAsia" w:eastAsia="仿宋_GB2312"/>
          <w:color w:val="000000"/>
          <w:sz w:val="32"/>
          <w:szCs w:val="32"/>
        </w:rPr>
        <w:t>（一）贯彻“公开、平等、竞争、择优”的原则，遵循重条件质量、看发展潜力的要求。</w:t>
      </w:r>
    </w:p>
    <w:p>
      <w:pPr>
        <w:spacing w:line="620" w:lineRule="exact"/>
        <w:ind w:firstLine="640" w:firstLineChars="200"/>
        <w:rPr>
          <w:rFonts w:eastAsia="仿宋_GB2312"/>
          <w:color w:val="000000"/>
          <w:sz w:val="32"/>
          <w:szCs w:val="32"/>
        </w:rPr>
      </w:pPr>
      <w:r>
        <w:rPr>
          <w:rFonts w:hint="eastAsia" w:eastAsia="仿宋_GB2312"/>
          <w:color w:val="000000"/>
          <w:sz w:val="32"/>
          <w:szCs w:val="32"/>
        </w:rPr>
        <w:t>（二）省科协组织人事部牵头相关部门聘请专家组成评审委员会对推荐人选进行评审，提出被托举人选名单。</w:t>
      </w:r>
    </w:p>
    <w:p>
      <w:pPr>
        <w:spacing w:line="620" w:lineRule="exact"/>
        <w:ind w:firstLine="640" w:firstLineChars="200"/>
        <w:rPr>
          <w:rFonts w:eastAsia="仿宋_GB2312"/>
          <w:color w:val="000000"/>
          <w:sz w:val="32"/>
          <w:szCs w:val="32"/>
        </w:rPr>
      </w:pPr>
      <w:r>
        <w:rPr>
          <w:rFonts w:hint="eastAsia" w:eastAsia="仿宋_GB2312"/>
          <w:color w:val="000000"/>
          <w:sz w:val="32"/>
          <w:szCs w:val="32"/>
        </w:rPr>
        <w:t>（三）专家评审意见经省科协党组研究审定后，通过江苏公众科技网向社会公示。</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第六条  项目</w:t>
      </w:r>
      <w:r>
        <w:rPr>
          <w:rFonts w:ascii="黑体" w:hAnsi="黑体" w:eastAsia="黑体"/>
          <w:color w:val="000000"/>
          <w:sz w:val="32"/>
          <w:szCs w:val="32"/>
        </w:rPr>
        <w:t>实施</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各设区市科协、省级学会、高校科协等推荐单位负责项目实施（以下简称项目实施单位），主要任务：</w:t>
      </w:r>
    </w:p>
    <w:p>
      <w:pPr>
        <w:spacing w:line="620" w:lineRule="exact"/>
        <w:ind w:right="-143" w:rightChars="-68" w:firstLine="640" w:firstLineChars="200"/>
        <w:rPr>
          <w:rFonts w:hint="eastAsia" w:eastAsia="仿宋_GB2312"/>
          <w:color w:val="000000"/>
          <w:sz w:val="32"/>
          <w:szCs w:val="32"/>
        </w:rPr>
      </w:pPr>
      <w:r>
        <w:rPr>
          <w:rFonts w:hint="eastAsia" w:eastAsia="仿宋_GB2312"/>
          <w:color w:val="000000"/>
          <w:sz w:val="32"/>
          <w:szCs w:val="32"/>
        </w:rPr>
        <w:t>（一）指导帮助被托举人制定培养计划，签订项目合同书；</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（二）为被托举人搭建培养平台；</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（三）与被托举人工作单位建立长效联系机制，实时掌握被托举人发展情况，保障项目按计划实施,并做好项目的总结工作；</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（四）接受省科协监督，并按要求提供项目相关材料。</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被托举人的主要任务：</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（一）制定个人成长发展规划及经费使用计划；</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（二）积极主动落实培养计划；</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（三）及时反馈个人成长情况；</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（四）按要求完成省科协和项目实施单位布置的有关工作。</w:t>
      </w:r>
    </w:p>
    <w:p>
      <w:pPr>
        <w:spacing w:line="6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第七条  经费使用</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资助经费用于被托举人学术成长过程中所发生的各项直接支出，主要包括：</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（一）出国（境）参加国际性学术会议、国际交流合作项目、短期培训差旅费、注册费等相关支出；</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（二）核心期刊发表文章，出版自然科学范围内的原创性科技、科普类著作等相关支出；</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（三）开展课题研究和技术攻关的相关直接支出。</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切实</w:t>
      </w:r>
      <w:r>
        <w:rPr>
          <w:rFonts w:eastAsia="仿宋_GB2312"/>
          <w:color w:val="000000"/>
          <w:sz w:val="32"/>
          <w:szCs w:val="32"/>
        </w:rPr>
        <w:t>加强经费使用</w:t>
      </w:r>
      <w:r>
        <w:rPr>
          <w:rFonts w:hint="eastAsia" w:eastAsia="仿宋_GB2312"/>
          <w:color w:val="000000"/>
          <w:sz w:val="32"/>
          <w:szCs w:val="32"/>
        </w:rPr>
        <w:t>管理：</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（一）项目实施单位应依据经费使用范围及本单位财务规定，制定经费签报程序，帮助指导被托举人依规</w:t>
      </w:r>
      <w:r>
        <w:rPr>
          <w:rFonts w:eastAsia="仿宋_GB2312"/>
          <w:color w:val="000000"/>
          <w:sz w:val="32"/>
          <w:szCs w:val="32"/>
        </w:rPr>
        <w:t>使用</w:t>
      </w:r>
      <w:r>
        <w:rPr>
          <w:rFonts w:hint="eastAsia" w:eastAsia="仿宋_GB2312"/>
          <w:color w:val="000000"/>
          <w:sz w:val="32"/>
          <w:szCs w:val="32"/>
        </w:rPr>
        <w:t>经费。</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（二）被托举人在经费使用范围内对资助经费有自主支配权，须结合个人培养计划合理安排经费使用。</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（三）资助经费要专款专用，不得截留或挪用。</w:t>
      </w:r>
    </w:p>
    <w:p>
      <w:pPr>
        <w:spacing w:line="620" w:lineRule="exact"/>
        <w:ind w:firstLine="640" w:firstLineChars="200"/>
        <w:rPr>
          <w:rFonts w:hint="eastAsia" w:eastAsia="仿宋_GB2312"/>
          <w:color w:val="000000"/>
          <w:sz w:val="32"/>
          <w:szCs w:val="32"/>
        </w:rPr>
      </w:pPr>
      <w:r>
        <w:rPr>
          <w:rFonts w:hint="eastAsia" w:eastAsia="仿宋_GB2312"/>
          <w:color w:val="000000"/>
          <w:sz w:val="32"/>
          <w:szCs w:val="32"/>
        </w:rPr>
        <w:t>（四）省科协将资助经费下拨至项目实施单位，并对资助经费的使用管理情况进行抽查监督。</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第八条  组织领导</w:t>
      </w:r>
    </w:p>
    <w:p>
      <w:pPr>
        <w:spacing w:line="620" w:lineRule="exact"/>
        <w:ind w:firstLine="640" w:firstLineChars="200"/>
        <w:rPr>
          <w:rFonts w:eastAsia="仿宋_GB2312"/>
          <w:color w:val="000000"/>
          <w:sz w:val="32"/>
          <w:szCs w:val="32"/>
        </w:rPr>
      </w:pPr>
      <w:r>
        <w:rPr>
          <w:rFonts w:hint="eastAsia" w:eastAsia="仿宋_GB2312"/>
          <w:color w:val="000000"/>
          <w:sz w:val="32"/>
          <w:szCs w:val="32"/>
        </w:rPr>
        <w:t>（一）省科协成立青年科技人才托举工程专项工作领导小组，由党组分管领导担任领导小组组长，成员由组织人事部、计划财务部、学会学术部、国际联络部等相关部门主要负责人组成。</w:t>
      </w:r>
    </w:p>
    <w:p>
      <w:pPr>
        <w:spacing w:line="620" w:lineRule="exact"/>
        <w:ind w:firstLine="640" w:firstLineChars="200"/>
        <w:rPr>
          <w:rFonts w:eastAsia="仿宋_GB2312"/>
          <w:color w:val="000000"/>
          <w:sz w:val="32"/>
          <w:szCs w:val="32"/>
        </w:rPr>
      </w:pPr>
      <w:r>
        <w:rPr>
          <w:rFonts w:hint="eastAsia" w:eastAsia="仿宋_GB2312"/>
          <w:color w:val="000000"/>
          <w:sz w:val="32"/>
          <w:szCs w:val="32"/>
        </w:rPr>
        <w:t>（二）领导小组下设办公室，设在组织人事部，负责青年科技人才托举工程的具体组织实施工作，指导设区市科协被托举人的遴选推荐工作。学会学术部负责指导省级学会、高校科协被托举人的遴选推荐工作。计划财务部负责专项经费的管理工作，对具体项目执行及经费使用情况进行监督检查和绩效评估。国际联络部负责为被托举人提供与外事相关的服务，开拓与国外学术机构的交流项目，支持推荐被托举人参加国际交流活动。</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第九条  监督管理</w:t>
      </w:r>
    </w:p>
    <w:p>
      <w:pPr>
        <w:spacing w:line="620" w:lineRule="exact"/>
        <w:ind w:firstLine="640" w:firstLineChars="200"/>
        <w:rPr>
          <w:rFonts w:eastAsia="仿宋_GB2312"/>
          <w:color w:val="000000"/>
          <w:sz w:val="32"/>
          <w:szCs w:val="32"/>
        </w:rPr>
      </w:pPr>
      <w:r>
        <w:rPr>
          <w:rFonts w:hint="eastAsia" w:eastAsia="仿宋_GB2312"/>
          <w:color w:val="000000"/>
          <w:sz w:val="32"/>
          <w:szCs w:val="32"/>
        </w:rPr>
        <w:t>（一）被托举人及所在单位、项目实施单位不得弄虚作假，徇私舞弊，提供不实信息。被托举人如被投诉，其所在单位、项目实施单位应当根据需要配合调查，对所反映的问题提供书面调查材料和结论性意见。</w:t>
      </w:r>
    </w:p>
    <w:p>
      <w:pPr>
        <w:spacing w:line="620" w:lineRule="exact"/>
        <w:ind w:firstLine="640" w:firstLineChars="200"/>
        <w:rPr>
          <w:rFonts w:eastAsia="仿宋_GB2312"/>
          <w:color w:val="000000"/>
          <w:sz w:val="32"/>
          <w:szCs w:val="32"/>
        </w:rPr>
      </w:pPr>
      <w:r>
        <w:rPr>
          <w:rFonts w:hint="eastAsia" w:eastAsia="仿宋_GB2312"/>
          <w:color w:val="000000"/>
          <w:sz w:val="32"/>
          <w:szCs w:val="32"/>
        </w:rPr>
        <w:t>（二）凡经查实被托举人在申请和经费使用过程中存在违纪违规行为的，取消资助资格，追缴已拨付的资助经费，并不再受理其以后的项目申请和评奖申请；所在单位存在造假等违纪行为的，三年内不接受该单位所有人员的资助申请；项目实施单位违纪的，三年内不得推荐资助人选。</w:t>
      </w:r>
    </w:p>
    <w:p>
      <w:pPr>
        <w:spacing w:line="6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第十条</w:t>
      </w:r>
      <w:r>
        <w:rPr>
          <w:rFonts w:hint="eastAsia" w:eastAsia="黑体" w:cs="Calibri"/>
          <w:color w:val="000000"/>
          <w:sz w:val="32"/>
          <w:szCs w:val="32"/>
        </w:rPr>
        <w:t xml:space="preserve">  </w:t>
      </w:r>
      <w:r>
        <w:rPr>
          <w:rFonts w:hint="eastAsia" w:ascii="黑体" w:hAnsi="黑体" w:eastAsia="黑体"/>
          <w:color w:val="000000"/>
          <w:sz w:val="32"/>
          <w:szCs w:val="32"/>
        </w:rPr>
        <w:t>结项</w:t>
      </w:r>
    </w:p>
    <w:p>
      <w:pPr>
        <w:spacing w:line="620" w:lineRule="exact"/>
        <w:ind w:firstLine="640" w:firstLineChars="200"/>
        <w:rPr>
          <w:rFonts w:eastAsia="仿宋_GB2312"/>
          <w:color w:val="000000"/>
          <w:sz w:val="32"/>
          <w:szCs w:val="32"/>
        </w:rPr>
      </w:pPr>
      <w:r>
        <w:rPr>
          <w:rFonts w:hint="eastAsia" w:eastAsia="仿宋_GB2312"/>
          <w:color w:val="000000"/>
          <w:sz w:val="32"/>
          <w:szCs w:val="32"/>
        </w:rPr>
        <w:t>项目实施单位在项目完成后一个月内提交结项报告。结项报告包含工作总体情况、经费使用情况、项目绩效以及被托举人成长情况评估等内容。省科协组织对项目总体实施情况进行抽查。</w:t>
      </w:r>
    </w:p>
    <w:p>
      <w:pPr>
        <w:spacing w:line="6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第十一条</w:t>
      </w:r>
      <w:r>
        <w:rPr>
          <w:rFonts w:hint="eastAsia" w:eastAsia="黑体" w:cs="Calibri"/>
          <w:color w:val="000000"/>
          <w:sz w:val="32"/>
          <w:szCs w:val="32"/>
        </w:rPr>
        <w:t xml:space="preserve">  </w:t>
      </w:r>
      <w:r>
        <w:rPr>
          <w:rFonts w:hint="eastAsia" w:ascii="黑体" w:hAnsi="黑体" w:eastAsia="黑体"/>
          <w:color w:val="000000"/>
          <w:sz w:val="32"/>
          <w:szCs w:val="32"/>
        </w:rPr>
        <w:t>其他</w:t>
      </w:r>
    </w:p>
    <w:p>
      <w:pPr>
        <w:spacing w:line="620" w:lineRule="exact"/>
        <w:ind w:firstLine="640" w:firstLineChars="200"/>
        <w:rPr>
          <w:rFonts w:eastAsia="仿宋_GB2312"/>
          <w:color w:val="000000"/>
          <w:sz w:val="32"/>
          <w:szCs w:val="32"/>
        </w:rPr>
      </w:pPr>
      <w:r>
        <w:rPr>
          <w:rFonts w:hint="eastAsia" w:eastAsia="仿宋_GB2312"/>
          <w:color w:val="000000"/>
          <w:sz w:val="32"/>
          <w:szCs w:val="32"/>
        </w:rPr>
        <w:t>（一）本办法经</w:t>
      </w:r>
      <w:r>
        <w:rPr>
          <w:rFonts w:eastAsia="仿宋_GB2312"/>
          <w:color w:val="000000"/>
          <w:sz w:val="32"/>
          <w:szCs w:val="32"/>
        </w:rPr>
        <w:t>2018</w:t>
      </w:r>
      <w:r>
        <w:rPr>
          <w:rFonts w:hint="eastAsia" w:eastAsia="仿宋_GB2312"/>
          <w:color w:val="000000"/>
          <w:sz w:val="32"/>
          <w:szCs w:val="32"/>
        </w:rPr>
        <w:t>年</w:t>
      </w:r>
      <w:r>
        <w:rPr>
          <w:rFonts w:eastAsia="仿宋_GB2312"/>
          <w:color w:val="000000"/>
          <w:sz w:val="32"/>
          <w:szCs w:val="32"/>
        </w:rPr>
        <w:t>7</w:t>
      </w:r>
      <w:r>
        <w:rPr>
          <w:rFonts w:hint="eastAsia" w:eastAsia="仿宋_GB2312"/>
          <w:color w:val="000000"/>
          <w:sz w:val="32"/>
          <w:szCs w:val="32"/>
        </w:rPr>
        <w:t>月</w:t>
      </w:r>
      <w:r>
        <w:rPr>
          <w:rFonts w:eastAsia="仿宋_GB2312"/>
          <w:color w:val="000000"/>
          <w:sz w:val="32"/>
          <w:szCs w:val="32"/>
        </w:rPr>
        <w:t>18</w:t>
      </w:r>
      <w:r>
        <w:rPr>
          <w:rFonts w:hint="eastAsia" w:eastAsia="仿宋_GB2312"/>
          <w:color w:val="000000"/>
          <w:sz w:val="32"/>
          <w:szCs w:val="32"/>
        </w:rPr>
        <w:t>日江苏省科协九届七次常委会审议通过，自发布之日起施行。</w:t>
      </w:r>
    </w:p>
    <w:p>
      <w:pPr>
        <w:spacing w:line="620" w:lineRule="exact"/>
        <w:ind w:firstLine="640" w:firstLineChars="200"/>
        <w:rPr>
          <w:rFonts w:eastAsia="仿宋_GB2312"/>
          <w:color w:val="000000"/>
          <w:sz w:val="32"/>
          <w:szCs w:val="32"/>
        </w:rPr>
      </w:pPr>
      <w:r>
        <w:rPr>
          <w:rFonts w:hint="eastAsia" w:eastAsia="仿宋_GB2312"/>
          <w:color w:val="000000"/>
          <w:sz w:val="32"/>
          <w:szCs w:val="32"/>
        </w:rPr>
        <w:t>（二）本办法由省科协组织人事部负责解释和修订。</w:t>
      </w:r>
    </w:p>
    <w:p>
      <w:pPr>
        <w:spacing w:line="620" w:lineRule="exact"/>
        <w:rPr>
          <w:rFonts w:hint="eastAsia"/>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昆仑楷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3B"/>
    <w:rsid w:val="00013FBD"/>
    <w:rsid w:val="00026AEA"/>
    <w:rsid w:val="00030652"/>
    <w:rsid w:val="00044A6F"/>
    <w:rsid w:val="00077D9D"/>
    <w:rsid w:val="000A046D"/>
    <w:rsid w:val="000E77AB"/>
    <w:rsid w:val="0010459D"/>
    <w:rsid w:val="00125050"/>
    <w:rsid w:val="0014223C"/>
    <w:rsid w:val="00150A4A"/>
    <w:rsid w:val="001559DE"/>
    <w:rsid w:val="00176273"/>
    <w:rsid w:val="00190362"/>
    <w:rsid w:val="001952E8"/>
    <w:rsid w:val="001B000A"/>
    <w:rsid w:val="001C109C"/>
    <w:rsid w:val="001D7C32"/>
    <w:rsid w:val="001E54A5"/>
    <w:rsid w:val="001F01E3"/>
    <w:rsid w:val="002132AD"/>
    <w:rsid w:val="00221CD0"/>
    <w:rsid w:val="00237891"/>
    <w:rsid w:val="0024788E"/>
    <w:rsid w:val="00261451"/>
    <w:rsid w:val="00266329"/>
    <w:rsid w:val="002670B3"/>
    <w:rsid w:val="00271878"/>
    <w:rsid w:val="00271DA4"/>
    <w:rsid w:val="0028237B"/>
    <w:rsid w:val="00282770"/>
    <w:rsid w:val="00295926"/>
    <w:rsid w:val="002B5E10"/>
    <w:rsid w:val="002B6704"/>
    <w:rsid w:val="002F283D"/>
    <w:rsid w:val="002F3472"/>
    <w:rsid w:val="00305752"/>
    <w:rsid w:val="00316697"/>
    <w:rsid w:val="00325069"/>
    <w:rsid w:val="00331BDA"/>
    <w:rsid w:val="003425A5"/>
    <w:rsid w:val="00347C02"/>
    <w:rsid w:val="003628AC"/>
    <w:rsid w:val="003742E6"/>
    <w:rsid w:val="00384256"/>
    <w:rsid w:val="003965FC"/>
    <w:rsid w:val="003A70F3"/>
    <w:rsid w:val="003B47EE"/>
    <w:rsid w:val="003C5650"/>
    <w:rsid w:val="003D6C48"/>
    <w:rsid w:val="003E5FB4"/>
    <w:rsid w:val="003F6EC0"/>
    <w:rsid w:val="00415DB2"/>
    <w:rsid w:val="00423A34"/>
    <w:rsid w:val="00465134"/>
    <w:rsid w:val="00473548"/>
    <w:rsid w:val="004775B5"/>
    <w:rsid w:val="00483578"/>
    <w:rsid w:val="00497119"/>
    <w:rsid w:val="004A267A"/>
    <w:rsid w:val="004B360A"/>
    <w:rsid w:val="004F6B72"/>
    <w:rsid w:val="005040AA"/>
    <w:rsid w:val="00511105"/>
    <w:rsid w:val="0051136F"/>
    <w:rsid w:val="00523B95"/>
    <w:rsid w:val="00544002"/>
    <w:rsid w:val="005569DC"/>
    <w:rsid w:val="00565BDF"/>
    <w:rsid w:val="005A2CB1"/>
    <w:rsid w:val="005A4867"/>
    <w:rsid w:val="005B6408"/>
    <w:rsid w:val="005C1381"/>
    <w:rsid w:val="005D2A3F"/>
    <w:rsid w:val="005D2C6A"/>
    <w:rsid w:val="005E5282"/>
    <w:rsid w:val="005F28FC"/>
    <w:rsid w:val="005F3B25"/>
    <w:rsid w:val="005F6625"/>
    <w:rsid w:val="006223C4"/>
    <w:rsid w:val="00626E57"/>
    <w:rsid w:val="00634872"/>
    <w:rsid w:val="00636C7B"/>
    <w:rsid w:val="00662B55"/>
    <w:rsid w:val="00677AB0"/>
    <w:rsid w:val="006A311B"/>
    <w:rsid w:val="006C3C2E"/>
    <w:rsid w:val="006E63CB"/>
    <w:rsid w:val="006E7FB9"/>
    <w:rsid w:val="006F746D"/>
    <w:rsid w:val="00702E80"/>
    <w:rsid w:val="007063E9"/>
    <w:rsid w:val="0074365E"/>
    <w:rsid w:val="00757757"/>
    <w:rsid w:val="007706F4"/>
    <w:rsid w:val="007721FA"/>
    <w:rsid w:val="00777F37"/>
    <w:rsid w:val="007819F2"/>
    <w:rsid w:val="00791F24"/>
    <w:rsid w:val="00793880"/>
    <w:rsid w:val="007A0361"/>
    <w:rsid w:val="007A28D8"/>
    <w:rsid w:val="007B0A1F"/>
    <w:rsid w:val="007B5885"/>
    <w:rsid w:val="007C21D9"/>
    <w:rsid w:val="007D609A"/>
    <w:rsid w:val="007D6F4F"/>
    <w:rsid w:val="007E2632"/>
    <w:rsid w:val="007F339B"/>
    <w:rsid w:val="00804295"/>
    <w:rsid w:val="008558B1"/>
    <w:rsid w:val="0086326F"/>
    <w:rsid w:val="008679D3"/>
    <w:rsid w:val="00876FF7"/>
    <w:rsid w:val="008820B2"/>
    <w:rsid w:val="008826AD"/>
    <w:rsid w:val="0088627F"/>
    <w:rsid w:val="008A1823"/>
    <w:rsid w:val="008B177D"/>
    <w:rsid w:val="008B475A"/>
    <w:rsid w:val="008C03B1"/>
    <w:rsid w:val="008C3E37"/>
    <w:rsid w:val="008D44A3"/>
    <w:rsid w:val="009008A8"/>
    <w:rsid w:val="009051E7"/>
    <w:rsid w:val="00906D06"/>
    <w:rsid w:val="0092243D"/>
    <w:rsid w:val="009259C2"/>
    <w:rsid w:val="00932A1B"/>
    <w:rsid w:val="00945124"/>
    <w:rsid w:val="00952939"/>
    <w:rsid w:val="00954ABE"/>
    <w:rsid w:val="0096680E"/>
    <w:rsid w:val="00966F42"/>
    <w:rsid w:val="00974CF0"/>
    <w:rsid w:val="009A1A88"/>
    <w:rsid w:val="009A5B23"/>
    <w:rsid w:val="009E5C3B"/>
    <w:rsid w:val="00A02E56"/>
    <w:rsid w:val="00A03D61"/>
    <w:rsid w:val="00A21957"/>
    <w:rsid w:val="00A23426"/>
    <w:rsid w:val="00A249B4"/>
    <w:rsid w:val="00A622BD"/>
    <w:rsid w:val="00A62576"/>
    <w:rsid w:val="00A6506D"/>
    <w:rsid w:val="00A72461"/>
    <w:rsid w:val="00A728DD"/>
    <w:rsid w:val="00A90C69"/>
    <w:rsid w:val="00A95E09"/>
    <w:rsid w:val="00AA1FF8"/>
    <w:rsid w:val="00AA22CF"/>
    <w:rsid w:val="00AA3DB7"/>
    <w:rsid w:val="00AB7828"/>
    <w:rsid w:val="00AD2745"/>
    <w:rsid w:val="00AF25D7"/>
    <w:rsid w:val="00AF34B0"/>
    <w:rsid w:val="00AF4C43"/>
    <w:rsid w:val="00B05701"/>
    <w:rsid w:val="00B107BE"/>
    <w:rsid w:val="00B36350"/>
    <w:rsid w:val="00B41F0B"/>
    <w:rsid w:val="00B67739"/>
    <w:rsid w:val="00B80FFC"/>
    <w:rsid w:val="00B8275B"/>
    <w:rsid w:val="00BA53E4"/>
    <w:rsid w:val="00C03BAB"/>
    <w:rsid w:val="00C40A6C"/>
    <w:rsid w:val="00C47EEA"/>
    <w:rsid w:val="00C5108E"/>
    <w:rsid w:val="00C67555"/>
    <w:rsid w:val="00C800CB"/>
    <w:rsid w:val="00CA3AA7"/>
    <w:rsid w:val="00CA4D95"/>
    <w:rsid w:val="00CE4FBE"/>
    <w:rsid w:val="00D00AB8"/>
    <w:rsid w:val="00D114DB"/>
    <w:rsid w:val="00D55C00"/>
    <w:rsid w:val="00D6026A"/>
    <w:rsid w:val="00DC1BCB"/>
    <w:rsid w:val="00DC6600"/>
    <w:rsid w:val="00DF4954"/>
    <w:rsid w:val="00E55499"/>
    <w:rsid w:val="00E5653F"/>
    <w:rsid w:val="00E71F16"/>
    <w:rsid w:val="00E87A62"/>
    <w:rsid w:val="00E91568"/>
    <w:rsid w:val="00E92F45"/>
    <w:rsid w:val="00E939B1"/>
    <w:rsid w:val="00E94D07"/>
    <w:rsid w:val="00EA4715"/>
    <w:rsid w:val="00ED0F8A"/>
    <w:rsid w:val="00ED2457"/>
    <w:rsid w:val="00EE4AD0"/>
    <w:rsid w:val="00EE5ADD"/>
    <w:rsid w:val="00EF17CE"/>
    <w:rsid w:val="00EF5D81"/>
    <w:rsid w:val="00F010DB"/>
    <w:rsid w:val="00F0166E"/>
    <w:rsid w:val="00F06605"/>
    <w:rsid w:val="00F1077E"/>
    <w:rsid w:val="00F1660A"/>
    <w:rsid w:val="00F44CC4"/>
    <w:rsid w:val="00F71464"/>
    <w:rsid w:val="00F75918"/>
    <w:rsid w:val="00F75C93"/>
    <w:rsid w:val="00FB530E"/>
    <w:rsid w:val="00FE683C"/>
    <w:rsid w:val="00FF31DC"/>
    <w:rsid w:val="0D6B6F70"/>
    <w:rsid w:val="355B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widowControl/>
      <w:overflowPunct w:val="0"/>
      <w:autoSpaceDE w:val="0"/>
      <w:autoSpaceDN w:val="0"/>
      <w:adjustRightInd w:val="0"/>
      <w:ind w:firstLine="555"/>
      <w:textAlignment w:val="baseline"/>
    </w:pPr>
    <w:rPr>
      <w:rFonts w:ascii="仿宋_GB2312" w:hAnsi="Times New Roman" w:eastAsia="仿宋_GB2312" w:cs="Times New Roman"/>
      <w:kern w:val="0"/>
      <w:sz w:val="32"/>
      <w:szCs w:val="20"/>
    </w:rPr>
  </w:style>
  <w:style w:type="paragraph" w:styleId="3">
    <w:name w:val="footer"/>
    <w:basedOn w:val="1"/>
    <w:link w:val="7"/>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basedOn w:val="6"/>
    <w:link w:val="3"/>
    <w:uiPriority w:val="99"/>
    <w:rPr>
      <w:rFonts w:ascii="Times New Roman" w:hAnsi="Times New Roman" w:eastAsia="宋体" w:cs="Times New Roman"/>
      <w:sz w:val="18"/>
      <w:szCs w:val="18"/>
    </w:rPr>
  </w:style>
  <w:style w:type="character" w:customStyle="1" w:styleId="8">
    <w:name w:val="正文文本缩进 Char"/>
    <w:basedOn w:val="6"/>
    <w:link w:val="2"/>
    <w:uiPriority w:val="0"/>
    <w:rPr>
      <w:rFonts w:ascii="仿宋_GB2312"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985</Words>
  <Characters>5616</Characters>
  <Lines>46</Lines>
  <Paragraphs>13</Paragraphs>
  <TotalTime>5</TotalTime>
  <ScaleCrop>false</ScaleCrop>
  <LinksUpToDate>false</LinksUpToDate>
  <CharactersWithSpaces>6588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2020-03-04T01:35:00Z</dcterms:created>
  <dc:creator>宋红群</dc:creator>
  <cp:lastModifiedBy>lizhufeng</cp:lastModifiedBy>
  <dcterms:modified xsi:type="dcterms:W3CDTF">2020-03-05T05:10:50Z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