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auto"/>
          <w:lang w:val="en-US" w:eastAsia="zh-CN" w:bidi="ar"/>
        </w:rPr>
        <w:t>2024年南通市自然科学基金指南建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auto"/>
          <w:lang w:val="en-US" w:eastAsia="zh-CN" w:bidi="ar"/>
        </w:rPr>
        <w:t>议汇总表</w:t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主管部门：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                                         联系人：                联系电话：</w:t>
      </w:r>
    </w:p>
    <w:tbl>
      <w:tblPr>
        <w:tblStyle w:val="2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21"/>
        <w:gridCol w:w="1376"/>
        <w:gridCol w:w="1021"/>
        <w:gridCol w:w="1051"/>
        <w:gridCol w:w="1207"/>
        <w:gridCol w:w="1809"/>
        <w:gridCol w:w="1299"/>
        <w:gridCol w:w="2567"/>
        <w:gridCol w:w="1469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建议指南名称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所属产业领域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研究内容简要描述（不超过100字）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拟合作单位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一般25字以内（如：XX研究）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【如：围绕（针对）-----需求（问题），开展----研究，阐明（揭示）-----，实现----目的。】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备注：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1.提出单位应为在通实体法人单位。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2.请严格按表格要求填写建议。</w:t>
      </w:r>
    </w:p>
    <w:p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3.所属产业领域：主控类与车规级IC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第三代半导体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细胞和基因技术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合成生物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高端植介入器械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通用人工智能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深远海装备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新型储能、其他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17E4D"/>
    <w:rsid w:val="383D5523"/>
    <w:rsid w:val="6D7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2024-06-24T07:08:00Z</dcterms:created>
  <dc:creator>admin</dc:creator>
  <cp:lastModifiedBy>admin</cp:lastModifiedBy>
  <dcterms:modified xsi:type="dcterms:W3CDTF">2024-06-24T07:09:21Z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C29A6346E5294F22BE779BA8FCB7B60D</vt:lpwstr>
  </property>
</Properties>
</file>